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E0" w:rsidRPr="00697502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r w:rsidRPr="0069750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Нормативно-правовые акты</w:t>
      </w:r>
    </w:p>
    <w:p w:rsidR="006269E0" w:rsidRPr="00697502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97502">
        <w:rPr>
          <w:rFonts w:ascii="Times New Roman" w:eastAsia="Calibri" w:hAnsi="Times New Roman" w:cs="Times New Roman"/>
          <w:color w:val="auto"/>
          <w:sz w:val="28"/>
          <w:szCs w:val="28"/>
        </w:rPr>
        <w:t>В целях создания необходимых условий для обеспечения качественных образовательных услуг детям дошкольного возраста предлагается следующий перечень нормативных правовых документов, регламентирующих деятельность дошкольных организаций:</w:t>
      </w:r>
    </w:p>
    <w:p w:rsidR="006269E0" w:rsidRPr="00697502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97502">
        <w:rPr>
          <w:rFonts w:ascii="Times New Roman" w:eastAsia="Calibri" w:hAnsi="Times New Roman" w:cs="Times New Roman"/>
          <w:color w:val="auto"/>
          <w:sz w:val="28"/>
          <w:szCs w:val="28"/>
        </w:rPr>
        <w:t>1. Закон Республики Казахстан от 27 июля 2007 года № 319-III «Об образовании».</w:t>
      </w:r>
    </w:p>
    <w:p w:rsidR="006269E0" w:rsidRPr="00697502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97502">
        <w:rPr>
          <w:rFonts w:ascii="Times New Roman" w:eastAsia="Calibri" w:hAnsi="Times New Roman" w:cs="Times New Roman"/>
          <w:color w:val="auto"/>
          <w:sz w:val="28"/>
          <w:szCs w:val="28"/>
        </w:rPr>
        <w:t>2. Закон Республики Казахстан от 8 августа 2002 года № 345-II «О правах ребенка в Республике Казахстан».</w:t>
      </w:r>
    </w:p>
    <w:p w:rsidR="006269E0" w:rsidRPr="00697502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97502">
        <w:rPr>
          <w:rFonts w:ascii="Times New Roman" w:eastAsia="Calibri" w:hAnsi="Times New Roman" w:cs="Times New Roman"/>
          <w:color w:val="auto"/>
          <w:sz w:val="28"/>
          <w:szCs w:val="28"/>
        </w:rPr>
        <w:t>3. Закон Республики Казахстан от 11 июля 1997 года № 151 «О языках в Республике Казахстан».</w:t>
      </w:r>
    </w:p>
    <w:p w:rsidR="006269E0" w:rsidRPr="00697502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97502">
        <w:rPr>
          <w:rFonts w:ascii="Times New Roman" w:eastAsia="Calibri" w:hAnsi="Times New Roman" w:cs="Times New Roman"/>
          <w:color w:val="auto"/>
          <w:sz w:val="28"/>
          <w:szCs w:val="28"/>
        </w:rPr>
        <w:t>4. Закон Республики Казахстан от 21 июля 2007 года № 306-III «О безопасности игрушек».</w:t>
      </w:r>
    </w:p>
    <w:p w:rsidR="006269E0" w:rsidRPr="00697502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97502">
        <w:rPr>
          <w:rFonts w:ascii="Times New Roman" w:eastAsia="Calibri" w:hAnsi="Times New Roman" w:cs="Times New Roman"/>
          <w:color w:val="auto"/>
          <w:sz w:val="28"/>
          <w:szCs w:val="28"/>
        </w:rPr>
        <w:t>5. Закон Республики Казахстан от 11 июля 2002 года № 343-II «О социальной и медико-педагогической коррекционной поддержке детей с ограниченными возможностями».</w:t>
      </w:r>
    </w:p>
    <w:p w:rsidR="006269E0" w:rsidRPr="00697502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97502">
        <w:rPr>
          <w:rFonts w:ascii="Times New Roman" w:eastAsia="Calibri" w:hAnsi="Times New Roman" w:cs="Times New Roman"/>
          <w:color w:val="auto"/>
          <w:sz w:val="28"/>
          <w:szCs w:val="28"/>
        </w:rPr>
        <w:t>6. Государственная программа развития образования и науки РК на 2016–2019 годы,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697502">
        <w:rPr>
          <w:rFonts w:ascii="Times New Roman" w:eastAsia="Calibri" w:hAnsi="Times New Roman" w:cs="Times New Roman"/>
          <w:color w:val="auto"/>
          <w:sz w:val="28"/>
          <w:szCs w:val="28"/>
        </w:rPr>
        <w:t>Указ Президента Республики Казахстан от 1 марта 2016 года № 205.</w:t>
      </w:r>
    </w:p>
    <w:p w:rsidR="006269E0" w:rsidRPr="00697502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97502">
        <w:rPr>
          <w:rFonts w:ascii="Times New Roman" w:eastAsia="Calibri" w:hAnsi="Times New Roman" w:cs="Times New Roman"/>
          <w:color w:val="auto"/>
          <w:sz w:val="28"/>
          <w:szCs w:val="28"/>
        </w:rPr>
        <w:t>7. Указ Президента Республики Казахстан № 569 «О переводе алфавита казахского языка с кириллицы на латинскую графику».</w:t>
      </w:r>
    </w:p>
    <w:p w:rsidR="006269E0" w:rsidRPr="00697502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97502">
        <w:rPr>
          <w:rFonts w:ascii="Times New Roman" w:eastAsia="Calibri" w:hAnsi="Times New Roman" w:cs="Times New Roman"/>
          <w:color w:val="auto"/>
          <w:sz w:val="28"/>
          <w:szCs w:val="28"/>
        </w:rPr>
        <w:t>8. Санитарные правила «Санитарно-эпидемиологические требования к дошкольным организациям и домам ребенка», приказ министра здравоохранения РК от 17 августа 2017 года № 615.</w:t>
      </w:r>
    </w:p>
    <w:p w:rsidR="006269E0" w:rsidRPr="00697502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97502">
        <w:rPr>
          <w:rFonts w:ascii="Times New Roman" w:eastAsia="Calibri" w:hAnsi="Times New Roman" w:cs="Times New Roman"/>
          <w:color w:val="auto"/>
          <w:sz w:val="28"/>
          <w:szCs w:val="28"/>
        </w:rPr>
        <w:t>9. Стандарты государственных услуг «Постановка на очередь детей дошкольного возраста (до 7 лет) для направления в детские дошкольные организации», «Прием документов и зачисление детей в дошкольные организации образования», приказ министра образования и науки Республики Казахстан от 11 октября 2017 года № 518.</w:t>
      </w:r>
    </w:p>
    <w:p w:rsidR="006269E0" w:rsidRPr="00697502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97502">
        <w:rPr>
          <w:rFonts w:ascii="Times New Roman" w:eastAsia="Calibri" w:hAnsi="Times New Roman" w:cs="Times New Roman"/>
          <w:color w:val="auto"/>
          <w:sz w:val="28"/>
          <w:szCs w:val="28"/>
        </w:rPr>
        <w:t>10. Государственный общеобязательный стандарт дошкольного воспитания и обучения РК, постановление Правительства Республики Казахстан от 23 августа 2012 года № 1080.</w:t>
      </w:r>
    </w:p>
    <w:p w:rsidR="006269E0" w:rsidRPr="00697502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97502">
        <w:rPr>
          <w:rFonts w:ascii="Times New Roman" w:eastAsia="Calibri" w:hAnsi="Times New Roman" w:cs="Times New Roman"/>
          <w:color w:val="auto"/>
          <w:sz w:val="28"/>
          <w:szCs w:val="28"/>
        </w:rPr>
        <w:t>11. Типовой учебный план дошкольного воспитания и обучения, приказ министра образования и науки Республики Казахстан от 20 декабря 2012 года № 557.</w:t>
      </w:r>
    </w:p>
    <w:p w:rsidR="006269E0" w:rsidRPr="00697502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97502">
        <w:rPr>
          <w:rFonts w:ascii="Times New Roman" w:eastAsia="Calibri" w:hAnsi="Times New Roman" w:cs="Times New Roman"/>
          <w:color w:val="auto"/>
          <w:sz w:val="28"/>
          <w:szCs w:val="28"/>
        </w:rPr>
        <w:t>12. Типовая учебная программа дошкольного воспитания и обучения, приказ и. о. министра образования и науки Республики Казахстан от 12 августа 2016 года № 499.</w:t>
      </w:r>
    </w:p>
    <w:p w:rsidR="006269E0" w:rsidRPr="00697502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9750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13. Правила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697502">
        <w:rPr>
          <w:rFonts w:ascii="Times New Roman" w:eastAsia="Calibri" w:hAnsi="Times New Roman" w:cs="Times New Roman"/>
          <w:color w:val="auto"/>
          <w:sz w:val="28"/>
          <w:szCs w:val="28"/>
        </w:rPr>
        <w:t>послесредним</w:t>
      </w:r>
      <w:proofErr w:type="spellEnd"/>
      <w:r w:rsidRPr="00697502">
        <w:rPr>
          <w:rFonts w:ascii="Times New Roman" w:eastAsia="Calibri" w:hAnsi="Times New Roman" w:cs="Times New Roman"/>
          <w:color w:val="auto"/>
          <w:sz w:val="28"/>
          <w:szCs w:val="28"/>
        </w:rPr>
        <w:t>, высшим и послевузовским образованием, с учетом потребности рынка труда, на подготовительные отделения высших учебных заведений, а также на дошкольное воспитание и обучение, приказ министра образования и науки РК от 29 января 2016 года № 122.</w:t>
      </w:r>
    </w:p>
    <w:p w:rsidR="006269E0" w:rsidRPr="00697502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97502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14. Правила проведения психолого-педагогической экспертизы игрушек, приказ министра образования и науки РК от 10 июня 2008 года № 337.</w:t>
      </w:r>
    </w:p>
    <w:p w:rsidR="006269E0" w:rsidRPr="00697502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9750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15. </w:t>
      </w:r>
      <w:proofErr w:type="gramStart"/>
      <w:r w:rsidRPr="0069750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Об утверждении Правил и условий проведения аттестации гражданских служащих в сфере образования и науки, а также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</w:r>
      <w:proofErr w:type="spellStart"/>
      <w:r w:rsidRPr="00697502">
        <w:rPr>
          <w:rFonts w:ascii="Times New Roman" w:eastAsia="Calibri" w:hAnsi="Times New Roman" w:cs="Times New Roman"/>
          <w:color w:val="auto"/>
          <w:sz w:val="28"/>
          <w:szCs w:val="28"/>
        </w:rPr>
        <w:t>послесреднего</w:t>
      </w:r>
      <w:proofErr w:type="spellEnd"/>
      <w:r w:rsidRPr="0069750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образования, приказ министра образования и науки РК от 27 января 2016</w:t>
      </w:r>
      <w:proofErr w:type="gramEnd"/>
      <w:r w:rsidRPr="0069750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года № 83.</w:t>
      </w:r>
    </w:p>
    <w:p w:rsidR="006269E0" w:rsidRPr="00697502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97502">
        <w:rPr>
          <w:rFonts w:ascii="Times New Roman" w:eastAsia="Calibri" w:hAnsi="Times New Roman" w:cs="Times New Roman"/>
          <w:color w:val="auto"/>
          <w:sz w:val="28"/>
          <w:szCs w:val="28"/>
        </w:rPr>
        <w:t>16. Типовые правила деятельности дошкольных организаций, постановление Правительства Республики Казахстан от 17 мая 2013 года № 499 с изменениями и дополнениями по состоянию на 07.04.2017 г., с изменениями и дополнениями по состоянию на 03.09.2018г №7064</w:t>
      </w:r>
    </w:p>
    <w:p w:rsidR="006269E0" w:rsidRPr="00697502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97502">
        <w:rPr>
          <w:rFonts w:ascii="Times New Roman" w:eastAsia="Calibri" w:hAnsi="Times New Roman" w:cs="Times New Roman"/>
          <w:color w:val="auto"/>
          <w:sz w:val="28"/>
          <w:szCs w:val="28"/>
        </w:rPr>
        <w:t>17. Типовые правила деятельности видов дошкольных организаций, приказ министра образования и науки РК от 29 мая 2013 года № 206.</w:t>
      </w:r>
    </w:p>
    <w:p w:rsidR="006269E0" w:rsidRPr="00697502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97502">
        <w:rPr>
          <w:rFonts w:ascii="Times New Roman" w:eastAsia="Calibri" w:hAnsi="Times New Roman" w:cs="Times New Roman"/>
          <w:color w:val="auto"/>
          <w:sz w:val="28"/>
          <w:szCs w:val="28"/>
        </w:rPr>
        <w:t>18. Типовые квалификационные характеристики должностей педагогических работников и приравненных к ним лиц, приказ министра образования и науки РК от 13 июля 2009 года № 338.</w:t>
      </w:r>
    </w:p>
    <w:p w:rsidR="006269E0" w:rsidRPr="00697502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97502">
        <w:rPr>
          <w:rFonts w:ascii="Times New Roman" w:eastAsia="Calibri" w:hAnsi="Times New Roman" w:cs="Times New Roman"/>
          <w:color w:val="auto"/>
          <w:sz w:val="28"/>
          <w:szCs w:val="28"/>
        </w:rPr>
        <w:t>19. Нормы оснащения оборудованием и мебелью организаций дошкольного и среднего образования, а также специальных организаций образования, приказ министра образования и науки РК от 22 января 2016 года № 70.</w:t>
      </w:r>
    </w:p>
    <w:p w:rsidR="006269E0" w:rsidRPr="00697502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97502">
        <w:rPr>
          <w:rFonts w:ascii="Times New Roman" w:eastAsia="Calibri" w:hAnsi="Times New Roman" w:cs="Times New Roman"/>
          <w:color w:val="auto"/>
          <w:sz w:val="28"/>
          <w:szCs w:val="28"/>
        </w:rPr>
        <w:t>20. Перечень учебников, учебно-методических комплексов, пособий и другой дополнительной литературы, в том числе на электронных носителях, приказ министра образования и науки РК от 27 сентября 2013 года № 400.</w:t>
      </w:r>
    </w:p>
    <w:p w:rsidR="006269E0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97502">
        <w:rPr>
          <w:rFonts w:ascii="Times New Roman" w:eastAsia="Calibri" w:hAnsi="Times New Roman" w:cs="Times New Roman"/>
          <w:color w:val="auto"/>
          <w:sz w:val="28"/>
          <w:szCs w:val="28"/>
        </w:rPr>
        <w:t>21.Локальные акты: Положение о  педагогическом совете, методическом часе, семинаре, о составе аттестационной комиссии, вариативном компоненте, работе с родителями, попечительском совете и т.д.</w:t>
      </w:r>
    </w:p>
    <w:p w:rsidR="006269E0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6269E0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6269E0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6269E0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6269E0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6269E0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6269E0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6269E0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6269E0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6269E0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6269E0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6269E0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6269E0" w:rsidRPr="00A82151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bookmarkStart w:id="0" w:name="_GoBack"/>
      <w:bookmarkEnd w:id="0"/>
      <w:r w:rsidRPr="00A82151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lastRenderedPageBreak/>
        <w:t>Норматив</w:t>
      </w:r>
      <w:r w:rsidRPr="00A82151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kk-KZ"/>
        </w:rPr>
        <w:t>тік</w:t>
      </w:r>
      <w:r w:rsidRPr="00A82151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-</w:t>
      </w:r>
      <w:r w:rsidRPr="00A82151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kk-KZ"/>
        </w:rPr>
        <w:t>құқықтық</w:t>
      </w:r>
      <w:r w:rsidRPr="00A82151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 xml:space="preserve"> акт</w:t>
      </w:r>
      <w:r w:rsidRPr="00A82151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kk-KZ"/>
        </w:rPr>
        <w:t>ілер</w:t>
      </w:r>
    </w:p>
    <w:p w:rsidR="006269E0" w:rsidRPr="007A5566" w:rsidRDefault="006269E0" w:rsidP="006269E0">
      <w:pPr>
        <w:pStyle w:val="a3"/>
        <w:spacing w:after="0" w:line="240" w:lineRule="auto"/>
        <w:ind w:firstLine="69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</w:pPr>
      <w:r w:rsidRPr="00922178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Мек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теп жасына дейінгі балаларға сапалы білім беру қызметін қамтамасыз етуде қажетті жағдайлар жасау мақсатында мектепке дейінгі ұйымдардың қызметін реттейтін нормативтік-құқықтық </w:t>
      </w:r>
      <w:proofErr w:type="spellStart"/>
      <w:r w:rsidRPr="00697502">
        <w:rPr>
          <w:rFonts w:ascii="Times New Roman" w:eastAsia="Calibri" w:hAnsi="Times New Roman" w:cs="Times New Roman"/>
          <w:color w:val="auto"/>
          <w:sz w:val="28"/>
          <w:szCs w:val="28"/>
        </w:rPr>
        <w:t>құжаттардың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тізбесі:</w:t>
      </w:r>
    </w:p>
    <w:p w:rsidR="006269E0" w:rsidRPr="007A5566" w:rsidRDefault="006269E0" w:rsidP="006269E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</w:pPr>
      <w:r w:rsidRPr="007A5566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1. «Білім туралы» Қазақстан Республикасының 2007 жылғы 27 шілдедегі № 319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-</w:t>
      </w:r>
      <w:r w:rsidRPr="007A5566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III Заңы.</w:t>
      </w:r>
    </w:p>
    <w:p w:rsidR="006269E0" w:rsidRPr="00F53B78" w:rsidRDefault="006269E0" w:rsidP="006269E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</w:pPr>
      <w:r w:rsidRPr="00F53B78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2. «Қазақстан Республикасындағы баланың құқықтары туралы» Қазақстан Республикасының 2002 жылғы 8 тамыздағы № 345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-</w:t>
      </w:r>
      <w:r w:rsidRPr="007A5566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II</w:t>
      </w:r>
      <w:r w:rsidRPr="00F53B78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Заңы.</w:t>
      </w:r>
    </w:p>
    <w:p w:rsidR="006269E0" w:rsidRPr="00F53B78" w:rsidRDefault="006269E0" w:rsidP="006269E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</w:pPr>
      <w:r w:rsidRPr="00F53B78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3. «Қазақстан Республикасындағы тіл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дер</w:t>
      </w:r>
      <w:r w:rsidRPr="00F53B78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туралы» Қазақстан Республикасының 1997 жылғы 11 шілдедегі № 151 Заңы.</w:t>
      </w:r>
    </w:p>
    <w:p w:rsidR="006269E0" w:rsidRPr="00295038" w:rsidRDefault="006269E0" w:rsidP="006269E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</w:pPr>
      <w:r w:rsidRPr="00295038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4. «Ойыншықтардың қауіпсіздігі туралы» Қазақстан Республикасының 2007 жылғы 21 шілдедегі № 306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-</w:t>
      </w:r>
      <w:r w:rsidRPr="007A5566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III</w:t>
      </w:r>
      <w:r w:rsidRPr="00295038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Заңы.</w:t>
      </w:r>
    </w:p>
    <w:p w:rsidR="006269E0" w:rsidRPr="00295038" w:rsidRDefault="006269E0" w:rsidP="006269E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</w:pPr>
      <w:r w:rsidRPr="00295038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5. «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Мүмкіндігі шектеулі кемтар балаларды</w:t>
      </w:r>
      <w:r w:rsidRPr="00295038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әлеуметтік және медициналық-педагогикалық түзеу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арқылы</w:t>
      </w:r>
      <w:r w:rsidRPr="00295038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қолдау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көрсету </w:t>
      </w:r>
      <w:r w:rsidRPr="00295038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туралы» Қазақстан Республикасының 2002 жылғы 11 шілдедегі № 343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-</w:t>
      </w:r>
      <w:r w:rsidRPr="007A5566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II</w:t>
      </w:r>
      <w:r w:rsidRPr="00295038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Заңы.</w:t>
      </w:r>
    </w:p>
    <w:p w:rsidR="006269E0" w:rsidRPr="00AD2EDA" w:rsidRDefault="006269E0" w:rsidP="006269E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6. Қазақстан Республикасының</w:t>
      </w:r>
      <w:r w:rsidRPr="00AD2EDA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2016–2019 жылдарға арналған «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Б</w:t>
      </w:r>
      <w:r w:rsidRPr="00AD2EDA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ілім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және</w:t>
      </w:r>
      <w:r w:rsidRPr="00AD2EDA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ғылымды дамытудың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М</w:t>
      </w:r>
      <w:r w:rsidRPr="00AD2EDA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емлекеттік бағдарламасы»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,</w:t>
      </w:r>
      <w:r w:rsidRPr="00AD2EDA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Қазақстан Республикасы Президентінің 2016 жылғы 1 наурыздағы № 205 Жарлығы.</w:t>
      </w:r>
    </w:p>
    <w:p w:rsidR="006269E0" w:rsidRPr="0002767F" w:rsidRDefault="006269E0" w:rsidP="006269E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</w:pPr>
      <w:r w:rsidRPr="0002767F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7. «Қазақ тілі әліпбиін кириллицадан латын графикасына көшіру туралы» Қазақстан Республикасы Президентінің № 569 Жарлығы.</w:t>
      </w:r>
    </w:p>
    <w:p w:rsidR="006269E0" w:rsidRPr="0002767F" w:rsidRDefault="006269E0" w:rsidP="006269E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</w:pPr>
      <w:r w:rsidRPr="0002767F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8. «Мектепке дейінгі ұйымдарға және сәбилер үйлеріне қойылатын санитар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л</w:t>
      </w:r>
      <w:r w:rsidRPr="0002767F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ық-эпидемиологиялық талаптар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туралы</w:t>
      </w:r>
      <w:r w:rsidRPr="0002767F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» санитар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лық қағидалар </w:t>
      </w:r>
      <w:r w:rsidRPr="0002767F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Қазақстан Республикасы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Денсаулық сақтау М</w:t>
      </w:r>
      <w:r w:rsidRPr="0002767F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инистрінің 2017 жылғы 17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там</w:t>
      </w:r>
      <w:r w:rsidRPr="0002767F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ыздағы № 615 бұйрығы.</w:t>
      </w:r>
    </w:p>
    <w:p w:rsidR="006269E0" w:rsidRPr="00B53A5A" w:rsidRDefault="006269E0" w:rsidP="006269E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</w:pPr>
      <w:r w:rsidRPr="00B53A5A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9. «Мектепке дейінгі балалар ұйымдарына мектеп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жасына</w:t>
      </w:r>
      <w:r w:rsidRPr="00B53A5A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дейінгі (7 жасқа дейін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) </w:t>
      </w:r>
      <w:r w:rsidRPr="00B53A5A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балаларды жіберу үшін кезекке қою», «Мектепке дейінгі білім беру ұйымдарына құжаттарды қабылдау және балаларды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тіркеу</w:t>
      </w:r>
      <w:r w:rsidRPr="00B53A5A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» мемлекеттік қызмет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көрсету </w:t>
      </w:r>
      <w:r w:rsidRPr="00B53A5A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стандарттары» Қазақс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тан Республикасы Білім және ғылым  М</w:t>
      </w:r>
      <w:r w:rsidRPr="0002767F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инистрінің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2017</w:t>
      </w:r>
      <w:r w:rsidRPr="00B53A5A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жылғы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11 қазандағы</w:t>
      </w:r>
      <w:r w:rsidRPr="00B53A5A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518 бұйрығы</w:t>
      </w:r>
      <w:r w:rsidRPr="00B53A5A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.</w:t>
      </w:r>
    </w:p>
    <w:p w:rsidR="006269E0" w:rsidRPr="00465919" w:rsidRDefault="006269E0" w:rsidP="006269E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</w:pPr>
      <w:r w:rsidRPr="00465919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10. «Мектепке дейінгі тәрбие мен оқытудың жалпыға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бірдей </w:t>
      </w:r>
      <w:r w:rsidRPr="00465919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міндетті мемлекеттік стандарты» Қазақстан Республикасы Үкіметінің 2012 жылғы 23 тамыздағы № 1080 қаулысы.</w:t>
      </w:r>
    </w:p>
    <w:p w:rsidR="006269E0" w:rsidRPr="00ED38AD" w:rsidRDefault="006269E0" w:rsidP="006269E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</w:pPr>
      <w:r w:rsidRPr="00ED38AD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11. «Мектепке дейінгі тәрбие мен оқытудың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тұрпатты</w:t>
      </w:r>
      <w:r w:rsidRPr="00ED38AD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оқу жоспары» </w:t>
      </w:r>
      <w:r w:rsidRPr="00B53A5A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Қазақс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тан Республикасы Білім және ғылым  М</w:t>
      </w:r>
      <w:r w:rsidRPr="0002767F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инистрінің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</w:t>
      </w:r>
      <w:r w:rsidRPr="00ED38AD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2012 жылғы 20 желтоқсандағы № 557 бұйрығы.</w:t>
      </w:r>
    </w:p>
    <w:p w:rsidR="006269E0" w:rsidRPr="00BA6C49" w:rsidRDefault="006269E0" w:rsidP="006269E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</w:pPr>
      <w:r w:rsidRPr="00BA6C49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12. «Мектепке дейінгі тәрбие мен оқытудың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тұрпатты</w:t>
      </w:r>
      <w:r w:rsidRPr="00BA6C49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оқу бағдарламасы» </w:t>
      </w:r>
      <w:r w:rsidRPr="00B53A5A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Қазақс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тан Республикасы Білім және ғылым  М</w:t>
      </w:r>
      <w:r w:rsidRPr="0002767F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инистрінің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</w:t>
      </w:r>
      <w:r w:rsidRPr="00BA6C49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2016 жылғы 12 тамыздағы № 499 бұйрығы.</w:t>
      </w:r>
    </w:p>
    <w:p w:rsidR="006269E0" w:rsidRPr="0094582B" w:rsidRDefault="006269E0" w:rsidP="006269E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</w:pPr>
      <w:r w:rsidRPr="0094582B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13. «Еңбек нарығының қажеттіліктерін ескере отырып, техникалық және кәсiптiк, орта бiлiмнен кейiнгi, жоғары және жоғары оқу орнынан кейiнгi бiлiмi бар мамандарды даярлауға, жоғары оқу орындарының дайындық бөлімдеріне, сондай-ақ мектепке дейінгі тәрбиелеу мен </w:t>
      </w:r>
      <w:r w:rsidRPr="0094582B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lastRenderedPageBreak/>
        <w:t>оқытуға, орта білім беруге мемлекеттiк бiлiм беру тапсырысын орналастыру қағидаларын бекіту туралы» Қазақстан Республикасы Білім және ғылым министрінің 2016 жылғы 29 қаңтардағы № 122 бұйрығы.</w:t>
      </w:r>
    </w:p>
    <w:p w:rsidR="006269E0" w:rsidRPr="0094582B" w:rsidRDefault="006269E0" w:rsidP="006269E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</w:pPr>
      <w:r w:rsidRPr="0094582B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14. «Ойыншықтарды психологиялық-педагогикалық сараптамадан өткізу ережесін бекіту туралы» ҚР БҒМ 2008 жылғы 10 маусымдағы № 337 бұйрығы.</w:t>
      </w:r>
    </w:p>
    <w:p w:rsidR="006269E0" w:rsidRPr="0094582B" w:rsidRDefault="006269E0" w:rsidP="006269E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</w:pPr>
      <w:r w:rsidRPr="0094582B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15. «Білім және ғылым саласындағы азаматтық қызметшілерді аттестаттаудан өткізу қағидалары мен шарттарын, сондай-ақ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м</w:t>
      </w:r>
      <w:r w:rsidRPr="0094582B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ектепке дейінгі, бастауыш, негізгі орта, жалпы орта білімнің жалпы білім беретін оқу бағдарламаларын, техникалық және кәсіптік, орта білімнен кейінгі білімнің білім беру бағдарламаларын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жүзеге</w:t>
      </w:r>
      <w:r w:rsidRPr="0094582B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асыратын білім беру ұйымдарында жұмыс істейтін педагог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тар</w:t>
      </w:r>
      <w:r w:rsidRPr="0094582B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мен оларға теңестірілген тұлғаларды аттестаттаудан өткізу қағидалары мен шарттарын бекіту туралы» ҚР БҒМ 2016 жылғы 27 қаңтардағы № 83 бұйрығы.</w:t>
      </w:r>
    </w:p>
    <w:p w:rsidR="006269E0" w:rsidRPr="00A95A7C" w:rsidRDefault="006269E0" w:rsidP="006269E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</w:pPr>
      <w:r w:rsidRPr="0094582B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16.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«</w:t>
      </w:r>
      <w:r w:rsidRPr="0094582B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Мектепке дейінгі ұйымдар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дың</w:t>
      </w:r>
      <w:r w:rsidRPr="0094582B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қызметінің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тұрпатты</w:t>
      </w:r>
      <w:r w:rsidRPr="0094582B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қағидалары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»</w:t>
      </w:r>
      <w:r w:rsidRPr="0094582B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Қазақстан Республикасы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Үкіметінің </w:t>
      </w:r>
      <w:r w:rsidRPr="0094582B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2013 жылғы 17 мамырдағы № 499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қаулысына 2017 жылғы 07.04. жағдай бойынша өзгертулер мен толықтыруларды және 2018 ж.</w:t>
      </w:r>
      <w:r w:rsidRPr="0094582B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03.09.</w:t>
      </w:r>
      <w:r w:rsidRPr="00A95A7C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№7064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жағдай бойынша өзгертулер мен толықтыруларды қоса алғанда.</w:t>
      </w:r>
    </w:p>
    <w:p w:rsidR="006269E0" w:rsidRPr="00A95A7C" w:rsidRDefault="006269E0" w:rsidP="006269E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</w:pPr>
      <w:r w:rsidRPr="00A95A7C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17. «Мектепке дейінгі ұйымдар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дың қызмет </w:t>
      </w:r>
      <w:r w:rsidRPr="00A95A7C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түрлері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нің тұрпатты қағидалары»</w:t>
      </w:r>
      <w:r w:rsidRPr="00A95A7C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ҚР БҒМ 2013 жылғы 29 мамырдағы № 206 бұйрығы.</w:t>
      </w:r>
    </w:p>
    <w:p w:rsidR="006269E0" w:rsidRPr="004763D2" w:rsidRDefault="006269E0" w:rsidP="006269E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</w:pPr>
      <w:r w:rsidRPr="004763D2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18. «Педагог қызметкерлер мен оларға теңестірілген тұлғалар лауазымдарының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тұрпатты</w:t>
      </w:r>
      <w:r w:rsidRPr="004763D2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біліктілік сипаттамаларын бекіту туралы» ҚР БҒМ 2009 жылғы 13 шілдедегі № 338 бұйрығы.</w:t>
      </w:r>
    </w:p>
    <w:p w:rsidR="006269E0" w:rsidRPr="004763D2" w:rsidRDefault="006269E0" w:rsidP="006269E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</w:pPr>
      <w:r w:rsidRPr="004763D2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19. «Мектепке дейінгі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және</w:t>
      </w:r>
      <w:r w:rsidRPr="004763D2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орта білім беру ұйымдарын, сондай-ақ арнайы білім беру ұйымдарын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құрал-</w:t>
      </w:r>
      <w:r w:rsidRPr="004763D2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жабдықтармен және жиһазбен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қамтамасыз ету</w:t>
      </w:r>
      <w:r w:rsidRPr="004763D2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нормаларын бекіту туралы» Қазақстан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Республикасы Білім және Ғ</w:t>
      </w:r>
      <w:r w:rsidRPr="004763D2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ылым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м</w:t>
      </w:r>
      <w:r w:rsidRPr="004763D2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инистрінің 2016 жылғы 22 қаңтардағы № 70 бұйрығы.</w:t>
      </w:r>
    </w:p>
    <w:p w:rsidR="006269E0" w:rsidRPr="004763D2" w:rsidRDefault="006269E0" w:rsidP="006269E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</w:pPr>
      <w:r w:rsidRPr="004763D2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20.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«</w:t>
      </w:r>
      <w:r w:rsidRPr="004763D2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Оқулықтар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мен</w:t>
      </w:r>
      <w:r w:rsidRPr="004763D2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оқу-әді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стемелік кешендердің </w:t>
      </w:r>
      <w:r w:rsidRPr="004763D2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және басқа да қосымша әдебиеттердің, оның ішінде электрондық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нұсқадағы тізбелер туралы»</w:t>
      </w:r>
      <w:r w:rsidRPr="004763D2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ҚР БҒМ 2013 жылғы 27 қыркүйектегі № 400 бұйрығы.  </w:t>
      </w:r>
    </w:p>
    <w:p w:rsidR="006269E0" w:rsidRPr="008B5DD3" w:rsidRDefault="006269E0" w:rsidP="006269E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</w:pPr>
      <w:r w:rsidRPr="008B5DD3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21.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 xml:space="preserve"> Шек қойылған актілер: педагогикалық кеңес туралы, әдістемелік сағат, семинар, аттестаттау комиссиясының құрамы туралы, түрлендіру компоненті, ата-аналармен жұмыс, қорғаншылық кеңес және тағы басқа.</w:t>
      </w:r>
    </w:p>
    <w:p w:rsidR="006269E0" w:rsidRPr="006269E0" w:rsidRDefault="006269E0" w:rsidP="006269E0">
      <w:pPr>
        <w:pStyle w:val="a3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</w:pPr>
    </w:p>
    <w:p w:rsidR="001D3101" w:rsidRPr="006269E0" w:rsidRDefault="001D3101">
      <w:pPr>
        <w:rPr>
          <w:lang w:val="kk-KZ"/>
        </w:rPr>
      </w:pPr>
    </w:p>
    <w:sectPr w:rsidR="001D3101" w:rsidRPr="0062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D0E37"/>
    <w:multiLevelType w:val="hybridMultilevel"/>
    <w:tmpl w:val="06069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6C"/>
    <w:rsid w:val="001D3101"/>
    <w:rsid w:val="0043146C"/>
    <w:rsid w:val="0062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9E0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9E0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1301</Words>
  <Characters>7417</Characters>
  <Application>Microsoft Office Word</Application>
  <DocSecurity>0</DocSecurity>
  <Lines>61</Lines>
  <Paragraphs>17</Paragraphs>
  <ScaleCrop>false</ScaleCrop>
  <Company/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2018-10-24T09:58:00Z</dcterms:created>
  <dcterms:modified xsi:type="dcterms:W3CDTF">2018-10-24T09:59:00Z</dcterms:modified>
</cp:coreProperties>
</file>